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6B" w:rsidRPr="0045666B" w:rsidRDefault="0045666B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45666B">
        <w:rPr>
          <w:rFonts w:eastAsia="Times New Roman" w:cstheme="minorHAnsi"/>
          <w:b/>
          <w:color w:val="2F5496" w:themeColor="accent5" w:themeShade="BF"/>
          <w:sz w:val="24"/>
          <w:szCs w:val="24"/>
          <w:lang w:eastAsia="pl-PL"/>
        </w:rPr>
        <w:t>INFORMACJA</w:t>
      </w:r>
      <w:r w:rsidRPr="0045666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: </w:t>
      </w:r>
    </w:p>
    <w:p w:rsidR="0045666B" w:rsidRPr="0045666B" w:rsidRDefault="00E21B5B" w:rsidP="0045666B">
      <w:pPr>
        <w:shd w:val="clear" w:color="auto" w:fill="FFFFFF"/>
        <w:spacing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hyperlink r:id="rId4" w:history="1">
        <w:r w:rsidR="0045666B" w:rsidRPr="0045666B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https://brpd.gov.pl/2</w:t>
        </w:r>
        <w:bookmarkStart w:id="0" w:name="_GoBack"/>
        <w:bookmarkEnd w:id="0"/>
        <w:r w:rsidR="0045666B" w:rsidRPr="0045666B">
          <w:rPr>
            <w:rStyle w:val="Hipercze"/>
            <w:rFonts w:eastAsia="Times New Roman" w:cstheme="minorHAnsi"/>
            <w:sz w:val="24"/>
            <w:szCs w:val="24"/>
            <w:lang w:eastAsia="pl-PL"/>
          </w:rPr>
          <w:t>0</w:t>
        </w:r>
        <w:r w:rsidR="0045666B" w:rsidRPr="0045666B">
          <w:rPr>
            <w:rStyle w:val="Hipercze"/>
            <w:rFonts w:eastAsia="Times New Roman" w:cstheme="minorHAnsi"/>
            <w:sz w:val="24"/>
            <w:szCs w:val="24"/>
            <w:lang w:eastAsia="pl-PL"/>
          </w:rPr>
          <w:t>19/10/22/prawa-dziecka-po-ludzku/</w:t>
        </w:r>
      </w:hyperlink>
      <w:r w:rsidR="0045666B" w:rsidRPr="0045666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</w:t>
      </w:r>
    </w:p>
    <w:p w:rsidR="0045666B" w:rsidRPr="0045666B" w:rsidRDefault="0045666B" w:rsidP="0045666B">
      <w:pPr>
        <w:shd w:val="clear" w:color="auto" w:fill="FFFFFF"/>
        <w:spacing w:after="300" w:line="276" w:lineRule="auto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45666B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 </w:t>
      </w:r>
      <w:r w:rsidRPr="0045666B">
        <w:rPr>
          <w:rFonts w:eastAsia="Times New Roman" w:cstheme="minorHAnsi"/>
          <w:b/>
          <w:color w:val="2F5496" w:themeColor="accent5" w:themeShade="BF"/>
          <w:sz w:val="24"/>
          <w:szCs w:val="24"/>
          <w:lang w:eastAsia="pl-PL"/>
        </w:rPr>
        <w:t>↓</w:t>
      </w:r>
    </w:p>
    <w:p w:rsidR="006F703F" w:rsidRPr="0045666B" w:rsidRDefault="006F703F" w:rsidP="0045666B">
      <w:pPr>
        <w:shd w:val="clear" w:color="auto" w:fill="FFFFFF"/>
        <w:spacing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 xml:space="preserve">Jednym z najważniejszych dokumentów, w którym spisane są prawa dziecka, jest Konwencja o Prawach Dziecka. Konwencja ta to międzynarodowy dokument, który podpisują państwa i zobowiązują się przestrzegać zapisanych w nim praw. Polska podpisała Konwencję o Prawach Dziecka 7 czerwca 1991 roku i od tego momentu jej przepisy obowiązują także w Polsce. </w:t>
      </w:r>
    </w:p>
    <w:p w:rsidR="006F703F" w:rsidRPr="006F703F" w:rsidRDefault="006F703F" w:rsidP="0045666B">
      <w:pPr>
        <w:shd w:val="clear" w:color="auto" w:fill="FFFFFF"/>
        <w:spacing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Konwencja jest napisana trudnym prawniczym językiem, dlatego poprosiliśmy Waszych rówieśników, aby pomogli nam opisać te skomplikowane artykuły w prosty sposób – dzięki temu przepisy są bardziej zrozumiałe.</w:t>
      </w:r>
    </w:p>
    <w:p w:rsidR="006F703F" w:rsidRPr="006F703F" w:rsidRDefault="0045666B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b/>
          <w:color w:val="111111"/>
          <w:sz w:val="24"/>
          <w:szCs w:val="24"/>
          <w:lang w:eastAsia="pl-PL"/>
        </w:rPr>
      </w:pPr>
      <w:r w:rsidRPr="0045666B">
        <w:rPr>
          <w:rFonts w:eastAsia="Times New Roman" w:cstheme="minorHAnsi"/>
          <w:b/>
          <w:color w:val="111111"/>
          <w:sz w:val="24"/>
          <w:szCs w:val="24"/>
          <w:lang w:eastAsia="pl-PL"/>
        </w:rPr>
        <w:t>P</w:t>
      </w:r>
      <w:r w:rsidR="006F703F" w:rsidRPr="006F703F">
        <w:rPr>
          <w:rFonts w:eastAsia="Times New Roman" w:cstheme="minorHAnsi"/>
          <w:b/>
          <w:color w:val="111111"/>
          <w:sz w:val="24"/>
          <w:szCs w:val="24"/>
          <w:lang w:eastAsia="pl-PL"/>
        </w:rPr>
        <w:t>owołany „zespół tłumaczy” wykonał ogromną pracę</w:t>
      </w:r>
      <w:r w:rsidRPr="0045666B">
        <w:rPr>
          <w:rFonts w:eastAsia="Times New Roman" w:cstheme="minorHAnsi"/>
          <w:b/>
          <w:color w:val="111111"/>
          <w:sz w:val="24"/>
          <w:szCs w:val="24"/>
          <w:lang w:eastAsia="pl-PL"/>
        </w:rPr>
        <w:t xml:space="preserve"> </w:t>
      </w:r>
      <w:r w:rsidR="006F703F" w:rsidRPr="006F703F">
        <w:rPr>
          <w:rFonts w:eastAsia="Times New Roman" w:cstheme="minorHAnsi"/>
          <w:b/>
          <w:color w:val="111111"/>
          <w:sz w:val="24"/>
          <w:szCs w:val="24"/>
          <w:lang w:eastAsia="pl-PL"/>
        </w:rPr>
        <w:t>Oto wyniki: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2. i 30. ZAKAZ DYSKRYMINACJI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Wszystkie dzieci mają takie same prawa – nie ma gorszych ani lepszych dzieci!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12. PRAWO DO WYPOWIEDZI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Każdy ma prawo mieć swoje zdanie, własne myśli i poglądy. Dziecko może wypowiadać się w swoich sprawach przed sądem lub w innych instytucjach.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13. PRAWO DO INFORMACJI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Dziecko ma prawo do wypowiedzi. Możemy szukać informacji, wypowiadać się w dowolny sposób (np. mówiąc, pisząc, tworząc sztuki teatralne, rysując). Należy jednak pamiętać, aby korzystając z prawa do wypowiedzi, nikogo nie obrazić.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16. PRAWO DO PRYWATNOŚCI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 xml:space="preserve">Nikt nie ma prawa poniżać i ośmieszać dziecka ani wtrącać się do jego osobistych spraw, czytać listów, maili, </w:t>
      </w:r>
      <w:proofErr w:type="spellStart"/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esemesów</w:t>
      </w:r>
      <w:proofErr w:type="spellEnd"/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czy pamiętników – chyba że w uzasadnionych sytuacjach sąd zadecyduje inaczej.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17. DOSTĘP DO RÓŻNYCH MEDIÓW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 xml:space="preserve">Dziecko ma prawo do korzystania z książek, gazet, </w:t>
      </w:r>
      <w:proofErr w:type="spellStart"/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internetu</w:t>
      </w:r>
      <w:proofErr w:type="spellEnd"/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 xml:space="preserve"> – choć rodzice czy opiekunowie powinni czuwać nad tym, z czego i jak długo korzysta.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lastRenderedPageBreak/>
        <w:t>Artykuł 19. OCHRONA PRZED PRZEMOCĄ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Nikt, nawet mama czy tata nie mają prawa bić dziecka lub dręczyć go w inny sposób! Rodzicom i opiekunom nie wolno zaniedbywać dziecka. Zadaniem dorosłych jest chronić dziecko przed przemocą.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24. PRAWO DO OPIEKI MEDYCZNEJ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Jak dziecko zachoruje zawsze ma prawo do leczenia.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26. PRAWO DO ZABEZPIECZENIA SPOŁECZNEGO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Jeśli rodzina dziecka jest w trudnej sytuacji finansowej, państwo powinno dziecku pomóc.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28. PRAWO DO NAUKI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Dzieci maja prawo do nauki. Dzięki temu prawu mogą uczyć się za darmo. Obowiązkiem państwa jest dopilnować, żebyśmy mogli się uczyć.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29. PRAWO DO ROZWIJANIA ZDOLNOŚCI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Dziecko ma prawo do rozwijania swoich zainteresowań lub zdolności, ma także prawo do różnego rodzaju korepetycji i wsparcia ze strony dorosłych.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31. PRAWO DO WYPOCZYNKU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Każde dziecko ma prawo do wypoczynku i czasu wolnego.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32. PRAWO DO OCHRONY PRZED WYKORZYSTYWANIEM DO PRACY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Dziecka nie można zmuszać do pracy zarobkowej, szczególnie zajęć niebezpiecznych lub utrudniających naukę i rozwój.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33. PRAWO DO OCHRONY PRZED NARKOTYKAMI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Państwo ma obowiązek wszelkimi prawnymi sposobami chronić nas przed narkotykowym uzależnieniem.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34. OCHRONA PRZED WYZYSKIEM SEKSUALNYM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Nikt nie może wykorzystywać seksualnie dzieci!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38. OCHRONA PODCZAS WOJEN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lastRenderedPageBreak/>
        <w:t>Dzieci poniżej 15. roku życia nie mogą brać udziału w wojnach.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outlineLvl w:val="2"/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2F5496" w:themeColor="accent5" w:themeShade="BF"/>
          <w:sz w:val="24"/>
          <w:szCs w:val="24"/>
          <w:lang w:eastAsia="pl-PL"/>
        </w:rPr>
        <w:t>Artykuł 40. PRAWA DZIECI PODEJRZANYCH O POPEŁNIENIE PRZESTĘPSTWA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6F703F">
        <w:rPr>
          <w:rFonts w:eastAsia="Times New Roman" w:cstheme="minorHAnsi"/>
          <w:color w:val="111111"/>
          <w:sz w:val="24"/>
          <w:szCs w:val="24"/>
          <w:lang w:eastAsia="pl-PL"/>
        </w:rPr>
        <w:t>Jeśli dziecko jest podejrzane o jakieś przestępstwo, to ma prawo do odpowiedniej pomocy w sądzie, do wypowiedzi w swojej sprawie i przedstawienia swojej wersji zdarzeń.</w:t>
      </w:r>
    </w:p>
    <w:p w:rsidR="006F703F" w:rsidRPr="006F703F" w:rsidRDefault="006F703F" w:rsidP="0045666B">
      <w:pPr>
        <w:shd w:val="clear" w:color="auto" w:fill="FFFFFF"/>
        <w:spacing w:before="300" w:after="300" w:line="276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</w:p>
    <w:p w:rsidR="00420E95" w:rsidRPr="0045666B" w:rsidRDefault="00420E95" w:rsidP="0045666B">
      <w:pPr>
        <w:spacing w:line="276" w:lineRule="auto"/>
        <w:rPr>
          <w:rFonts w:cstheme="minorHAnsi"/>
          <w:sz w:val="24"/>
          <w:szCs w:val="24"/>
        </w:rPr>
      </w:pPr>
    </w:p>
    <w:sectPr w:rsidR="00420E95" w:rsidRPr="0045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3F"/>
    <w:rsid w:val="00420E95"/>
    <w:rsid w:val="0045666B"/>
    <w:rsid w:val="006541A3"/>
    <w:rsid w:val="006F703F"/>
    <w:rsid w:val="007C2CB1"/>
    <w:rsid w:val="00E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5BFE-724E-4184-B0A2-C638B1E5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F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70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70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666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2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pd.gov.pl/2019/10/22/prawa-dziecka-po-ludzk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2024-01-22T20:19:00Z</dcterms:created>
  <dcterms:modified xsi:type="dcterms:W3CDTF">2024-01-27T10:36:00Z</dcterms:modified>
</cp:coreProperties>
</file>